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975" w:rsidRDefault="000A3ECA"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w:drawing>
          <wp:inline distT="0" distB="0" distL="0" distR="0" wp14:anchorId="46CB913B" wp14:editId="0A8F5942">
            <wp:extent cx="6858000" cy="144272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44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CA" w:rsidRPr="00125451" w:rsidRDefault="000A3ECA">
      <w:pPr>
        <w:rPr>
          <w:rStyle w:val="subheading1"/>
          <w:color w:val="auto"/>
        </w:rPr>
      </w:pPr>
      <w:r w:rsidRPr="00125451">
        <w:rPr>
          <w:rStyle w:val="heading10"/>
          <w:color w:val="auto"/>
          <w:sz w:val="48"/>
          <w:szCs w:val="48"/>
        </w:rPr>
        <w:t>#4 Settlement Policies and Procedures</w:t>
      </w:r>
      <w:r w:rsidRPr="00125451">
        <w:br/>
      </w:r>
      <w:r w:rsidRPr="00125451">
        <w:rPr>
          <w:rStyle w:val="subheading1"/>
          <w:color w:val="auto"/>
        </w:rPr>
        <w:t xml:space="preserve">Adopt standard real estate settlement procedures and policies that help ensure compliance </w:t>
      </w:r>
      <w:bookmarkStart w:id="0" w:name="_GoBack"/>
      <w:bookmarkEnd w:id="0"/>
      <w:r w:rsidRPr="00125451">
        <w:rPr>
          <w:rStyle w:val="subheading1"/>
          <w:color w:val="auto"/>
        </w:rPr>
        <w:t>with Federal and State Consumer Financial Laws as applicable to the Settlement Process.</w:t>
      </w:r>
    </w:p>
    <w:tbl>
      <w:tblPr>
        <w:tblStyle w:val="TableGrid"/>
        <w:tblW w:w="11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8"/>
        <w:gridCol w:w="270"/>
        <w:gridCol w:w="5138"/>
      </w:tblGrid>
      <w:tr w:rsidR="000A3ECA" w:rsidRPr="00FF3588" w:rsidTr="00F30EFC">
        <w:trPr>
          <w:trHeight w:val="837"/>
        </w:trPr>
        <w:tc>
          <w:tcPr>
            <w:tcW w:w="11088" w:type="dxa"/>
            <w:gridSpan w:val="3"/>
            <w:vAlign w:val="center"/>
          </w:tcPr>
          <w:p w:rsidR="000A3ECA" w:rsidRPr="00162485" w:rsidRDefault="000A3ECA" w:rsidP="00F30EFC">
            <w:pPr>
              <w:pStyle w:val="Heading1"/>
              <w:spacing w:before="0" w:beforeAutospacing="0" w:after="0" w:afterAutospacing="0"/>
              <w:outlineLvl w:val="0"/>
            </w:pPr>
            <w:r w:rsidRPr="00162485">
              <w:t>Purpose</w:t>
            </w:r>
          </w:p>
          <w:p w:rsidR="000A3ECA" w:rsidRDefault="000A3ECA" w:rsidP="00F30EFC">
            <w:pPr>
              <w:jc w:val="both"/>
              <w:rPr>
                <w:rFonts w:cs="Segoe UI"/>
                <w:szCs w:val="20"/>
              </w:rPr>
            </w:pPr>
            <w:r w:rsidRPr="002E4873">
              <w:rPr>
                <w:rFonts w:cs="Segoe UI"/>
                <w:szCs w:val="20"/>
              </w:rPr>
              <w:t xml:space="preserve">Adopting appropriate policies and conducting ongoing employee training </w:t>
            </w:r>
            <w:r>
              <w:rPr>
                <w:rFonts w:cs="Segoe UI"/>
                <w:szCs w:val="20"/>
              </w:rPr>
              <w:t>helps</w:t>
            </w:r>
            <w:r w:rsidRPr="002E4873">
              <w:rPr>
                <w:rFonts w:cs="Segoe UI"/>
                <w:szCs w:val="20"/>
              </w:rPr>
              <w:t xml:space="preserve"> ensure </w:t>
            </w:r>
            <w:r>
              <w:rPr>
                <w:rFonts w:cs="Segoe UI"/>
                <w:szCs w:val="20"/>
              </w:rPr>
              <w:t>the Company can meet state, federal, and contractual obligations governing the Settlement.</w:t>
            </w:r>
          </w:p>
          <w:p w:rsidR="000A3ECA" w:rsidRPr="00FF3588" w:rsidRDefault="000A3ECA" w:rsidP="00F30EFC">
            <w:pPr>
              <w:jc w:val="both"/>
              <w:rPr>
                <w:rFonts w:cs="Segoe UI"/>
                <w:color w:val="002B5C"/>
                <w:szCs w:val="20"/>
              </w:rPr>
            </w:pPr>
          </w:p>
        </w:tc>
      </w:tr>
      <w:tr w:rsidR="000A3ECA" w:rsidRPr="007A256E" w:rsidTr="00F30EFC">
        <w:trPr>
          <w:trHeight w:val="68"/>
        </w:trPr>
        <w:tc>
          <w:tcPr>
            <w:tcW w:w="5688" w:type="dxa"/>
            <w:vMerge w:val="restart"/>
          </w:tcPr>
          <w:p w:rsidR="000A3ECA" w:rsidRPr="00FF3588" w:rsidRDefault="000A3ECA" w:rsidP="00F30EFC">
            <w:pPr>
              <w:pStyle w:val="Heading1"/>
              <w:spacing w:before="0" w:beforeAutospacing="0" w:after="0" w:afterAutospacing="0"/>
              <w:jc w:val="both"/>
              <w:outlineLvl w:val="0"/>
            </w:pPr>
            <w:r w:rsidRPr="00FF3588">
              <w:t>What You Should Know</w:t>
            </w:r>
          </w:p>
          <w:p w:rsidR="000A3ECA" w:rsidRDefault="000A3ECA" w:rsidP="00F30EFC">
            <w:pPr>
              <w:pStyle w:val="Heading2"/>
              <w:spacing w:before="0"/>
              <w:outlineLvl w:val="1"/>
            </w:pPr>
            <w:r>
              <w:t>Office Settlement Procedure Manual</w:t>
            </w:r>
          </w:p>
          <w:p w:rsidR="000A3ECA" w:rsidRDefault="000A3ECA" w:rsidP="00F30EFC">
            <w:r>
              <w:t>Create an office settlement procedure manual to ensure all closings are handled in the same manner.  Consider including items such as:</w:t>
            </w:r>
          </w:p>
          <w:p w:rsidR="000A3ECA" w:rsidRDefault="000A3ECA" w:rsidP="000A3ECA">
            <w:pPr>
              <w:pStyle w:val="ListParagraph"/>
              <w:numPr>
                <w:ilvl w:val="0"/>
                <w:numId w:val="3"/>
              </w:numPr>
              <w:spacing w:before="0" w:after="0"/>
            </w:pPr>
            <w:r>
              <w:t>Procedure for conflicts</w:t>
            </w:r>
          </w:p>
          <w:p w:rsidR="000A3ECA" w:rsidRDefault="000A3ECA" w:rsidP="000A3ECA">
            <w:pPr>
              <w:pStyle w:val="ListParagraph"/>
              <w:numPr>
                <w:ilvl w:val="0"/>
                <w:numId w:val="3"/>
              </w:numPr>
              <w:spacing w:before="0" w:after="0"/>
            </w:pPr>
            <w:r>
              <w:t>Closing checklists, including compliance with RPC 191, Good Funds Settlement Act, recording prior to disbursement, follow up on satisfactions and final title opinions</w:t>
            </w:r>
          </w:p>
          <w:p w:rsidR="000A3ECA" w:rsidRDefault="000A3ECA" w:rsidP="000A3ECA">
            <w:pPr>
              <w:pStyle w:val="ListParagraph"/>
              <w:numPr>
                <w:ilvl w:val="0"/>
                <w:numId w:val="3"/>
              </w:numPr>
              <w:spacing w:before="0" w:after="0"/>
            </w:pPr>
            <w:r>
              <w:t>Timelines and tracking for recording and forwarding of title policies</w:t>
            </w:r>
          </w:p>
          <w:p w:rsidR="000A3ECA" w:rsidRDefault="000A3ECA" w:rsidP="000A3ECA">
            <w:pPr>
              <w:pStyle w:val="ListParagraph"/>
              <w:numPr>
                <w:ilvl w:val="0"/>
                <w:numId w:val="3"/>
              </w:numPr>
              <w:spacing w:before="0" w:after="0"/>
            </w:pPr>
            <w:r>
              <w:t>Accountability – whose job is it at each step?</w:t>
            </w:r>
          </w:p>
          <w:p w:rsidR="000A3ECA" w:rsidRDefault="000A3ECA" w:rsidP="000A3ECA">
            <w:pPr>
              <w:pStyle w:val="ListParagraph"/>
              <w:numPr>
                <w:ilvl w:val="0"/>
                <w:numId w:val="3"/>
              </w:numPr>
              <w:spacing w:before="0" w:after="0"/>
            </w:pPr>
            <w:r>
              <w:t>Process for tracking overpayments and refunding customers</w:t>
            </w:r>
          </w:p>
          <w:p w:rsidR="000A3ECA" w:rsidRDefault="000A3ECA" w:rsidP="00F30EFC">
            <w:pPr>
              <w:pStyle w:val="Heading2"/>
              <w:spacing w:before="0"/>
              <w:outlineLvl w:val="1"/>
            </w:pPr>
            <w:r>
              <w:t>Employee Training</w:t>
            </w:r>
          </w:p>
          <w:p w:rsidR="000A3ECA" w:rsidRDefault="000A3ECA" w:rsidP="000A3ECA">
            <w:pPr>
              <w:pStyle w:val="ListParagraph"/>
              <w:numPr>
                <w:ilvl w:val="0"/>
                <w:numId w:val="5"/>
              </w:numPr>
              <w:spacing w:before="0" w:after="0"/>
            </w:pPr>
            <w:r>
              <w:t>Regular meetings with attorneys to update staff</w:t>
            </w:r>
          </w:p>
          <w:p w:rsidR="000A3ECA" w:rsidRDefault="000A3ECA" w:rsidP="000A3ECA">
            <w:pPr>
              <w:pStyle w:val="ListParagraph"/>
              <w:numPr>
                <w:ilvl w:val="0"/>
                <w:numId w:val="5"/>
              </w:numPr>
              <w:spacing w:before="0" w:after="0"/>
            </w:pPr>
            <w:r>
              <w:t>Meet after attorneys attend CLE to educate employees on new trends</w:t>
            </w:r>
          </w:p>
          <w:p w:rsidR="000A3ECA" w:rsidRDefault="000A3ECA" w:rsidP="000A3ECA">
            <w:pPr>
              <w:pStyle w:val="ListParagraph"/>
              <w:numPr>
                <w:ilvl w:val="0"/>
                <w:numId w:val="5"/>
              </w:numPr>
              <w:spacing w:before="0" w:after="0"/>
            </w:pPr>
            <w:r>
              <w:t>Review work and discuss any issues or misunderstandings with employees</w:t>
            </w:r>
          </w:p>
          <w:p w:rsidR="000A3ECA" w:rsidRDefault="000A3ECA" w:rsidP="000A3ECA">
            <w:pPr>
              <w:pStyle w:val="ListParagraph"/>
              <w:numPr>
                <w:ilvl w:val="0"/>
                <w:numId w:val="5"/>
              </w:numPr>
              <w:spacing w:before="0" w:after="0"/>
            </w:pPr>
            <w:r>
              <w:t>Recommend paralegal certification</w:t>
            </w:r>
          </w:p>
          <w:p w:rsidR="000A3ECA" w:rsidRPr="007413A5" w:rsidRDefault="000A3ECA" w:rsidP="000A3ECA">
            <w:pPr>
              <w:pStyle w:val="ListParagraph"/>
              <w:numPr>
                <w:ilvl w:val="0"/>
                <w:numId w:val="5"/>
              </w:numPr>
              <w:spacing w:before="0" w:after="0"/>
            </w:pPr>
            <w:r>
              <w:t>Attend ongoing CPE for closing and title examination paralegals</w:t>
            </w:r>
          </w:p>
          <w:p w:rsidR="000A3ECA" w:rsidRPr="000510EC" w:rsidRDefault="000A3ECA" w:rsidP="00F30EFC">
            <w:pPr>
              <w:pStyle w:val="Heading2"/>
              <w:spacing w:before="0"/>
              <w:outlineLvl w:val="1"/>
            </w:pPr>
            <w:r>
              <w:t>Electronic Recordings</w:t>
            </w:r>
          </w:p>
          <w:p w:rsidR="000A3ECA" w:rsidRPr="00B25381" w:rsidRDefault="000A3ECA" w:rsidP="000A3ECA">
            <w:pPr>
              <w:pStyle w:val="Heading2"/>
              <w:numPr>
                <w:ilvl w:val="0"/>
                <w:numId w:val="7"/>
              </w:numPr>
              <w:spacing w:before="0"/>
              <w:outlineLvl w:val="1"/>
              <w:rPr>
                <w:rFonts w:cstheme="minorBidi"/>
                <w:b w:val="0"/>
                <w:i/>
                <w:color w:val="auto"/>
                <w:sz w:val="20"/>
              </w:rPr>
            </w:pPr>
            <w:r w:rsidRPr="00B25381">
              <w:rPr>
                <w:rFonts w:cstheme="minorBidi"/>
                <w:b w:val="0"/>
                <w:color w:val="auto"/>
                <w:sz w:val="20"/>
              </w:rPr>
              <w:t xml:space="preserve">E-Recording may streamline closing process, but must be carefully monitored, depending on on-line delays and lack of </w:t>
            </w:r>
            <w:r>
              <w:rPr>
                <w:rFonts w:cstheme="minorBidi"/>
                <w:b w:val="0"/>
                <w:color w:val="auto"/>
                <w:sz w:val="20"/>
              </w:rPr>
              <w:t xml:space="preserve">remote access to </w:t>
            </w:r>
            <w:r w:rsidRPr="00B25381">
              <w:rPr>
                <w:rFonts w:cstheme="minorBidi"/>
                <w:b w:val="0"/>
                <w:color w:val="auto"/>
                <w:sz w:val="20"/>
              </w:rPr>
              <w:t xml:space="preserve">court records.  </w:t>
            </w:r>
          </w:p>
        </w:tc>
        <w:tc>
          <w:tcPr>
            <w:tcW w:w="270" w:type="dxa"/>
            <w:tcBorders>
              <w:right w:val="thinThickSmallGap" w:sz="12" w:space="0" w:color="002B5C"/>
            </w:tcBorders>
            <w:shd w:val="clear" w:color="auto" w:fill="auto"/>
          </w:tcPr>
          <w:p w:rsidR="000A3ECA" w:rsidRPr="000510EC" w:rsidRDefault="000A3ECA" w:rsidP="00F30EFC">
            <w:pPr>
              <w:ind w:left="72" w:hanging="120"/>
              <w:jc w:val="center"/>
              <w:rPr>
                <w:rFonts w:cs="Segoe UI"/>
                <w:color w:val="FFC425"/>
                <w:szCs w:val="20"/>
              </w:rPr>
            </w:pPr>
          </w:p>
        </w:tc>
        <w:tc>
          <w:tcPr>
            <w:tcW w:w="5130" w:type="dxa"/>
            <w:vMerge w:val="restart"/>
            <w:tcBorders>
              <w:top w:val="thinThickSmallGap" w:sz="12" w:space="0" w:color="002B5C"/>
              <w:left w:val="thinThickSmallGap" w:sz="12" w:space="0" w:color="002B5C"/>
              <w:right w:val="thickThinSmallGap" w:sz="12" w:space="0" w:color="002B5C"/>
            </w:tcBorders>
            <w:shd w:val="clear" w:color="auto" w:fill="F2F2F2" w:themeFill="background1" w:themeFillShade="F2"/>
            <w:vAlign w:val="center"/>
          </w:tcPr>
          <w:p w:rsidR="000A3ECA" w:rsidRPr="00E06E94" w:rsidRDefault="001C6347" w:rsidP="00F30EFC">
            <w:pPr>
              <w:pStyle w:val="Heading1"/>
              <w:spacing w:before="0" w:beforeAutospacing="0" w:after="0" w:afterAutospacing="0"/>
              <w:outlineLvl w:val="0"/>
              <w:rPr>
                <w:color w:val="FFC425"/>
                <w:sz w:val="36"/>
              </w:rPr>
            </w:pPr>
            <w:r>
              <w:t>Issue</w:t>
            </w:r>
            <w:r w:rsidR="000A3ECA" w:rsidRPr="00E06E94">
              <w:t>s to Consider and Discuss</w:t>
            </w:r>
          </w:p>
          <w:p w:rsidR="000A3ECA" w:rsidRDefault="000A3ECA" w:rsidP="00F30EFC">
            <w:pPr>
              <w:pStyle w:val="Heading2"/>
              <w:spacing w:before="0"/>
              <w:outlineLvl w:val="1"/>
              <w:rPr>
                <w:sz w:val="24"/>
                <w:szCs w:val="24"/>
              </w:rPr>
            </w:pPr>
            <w:r w:rsidRPr="007A256E">
              <w:rPr>
                <w:sz w:val="24"/>
                <w:szCs w:val="24"/>
              </w:rPr>
              <w:t>Office Settlement Procedure Manual</w:t>
            </w:r>
          </w:p>
          <w:p w:rsidR="000A3ECA" w:rsidRPr="00FF7755" w:rsidRDefault="000A3ECA" w:rsidP="000A3ECA">
            <w:pPr>
              <w:pStyle w:val="Heading2"/>
              <w:numPr>
                <w:ilvl w:val="0"/>
                <w:numId w:val="7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F77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Do you have a detailed step-by-step process for handling closings, from intake to final satisfactions and title policies?</w:t>
            </w:r>
          </w:p>
          <w:p w:rsidR="000A3ECA" w:rsidRPr="00FF7755" w:rsidRDefault="000A3ECA" w:rsidP="000A3ECA">
            <w:pPr>
              <w:pStyle w:val="Heading2"/>
              <w:numPr>
                <w:ilvl w:val="0"/>
                <w:numId w:val="7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F77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Who is responsible for each step in the </w:t>
            </w:r>
            <w:proofErr w:type="spellStart"/>
            <w:r w:rsidRPr="00FF77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process</w:t>
            </w:r>
            <w:proofErr w:type="gramStart"/>
            <w:r w:rsidRPr="00FF77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?What</w:t>
            </w:r>
            <w:proofErr w:type="spellEnd"/>
            <w:proofErr w:type="gramEnd"/>
            <w:r w:rsidRPr="00FF77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is the procedure for conflicts? </w:t>
            </w:r>
          </w:p>
          <w:p w:rsidR="000A3ECA" w:rsidRPr="00FF7755" w:rsidRDefault="000A3ECA" w:rsidP="000A3ECA">
            <w:pPr>
              <w:pStyle w:val="Heading2"/>
              <w:numPr>
                <w:ilvl w:val="0"/>
                <w:numId w:val="7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FF7755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If there are two sets of closing instructions (one general and one specific) and one set contradicts the other, what is your office procedure?</w:t>
            </w:r>
          </w:p>
          <w:p w:rsidR="000A3ECA" w:rsidRPr="00FF7755" w:rsidRDefault="000A3ECA" w:rsidP="00F30EFC"/>
          <w:p w:rsidR="000A3ECA" w:rsidRPr="007A256E" w:rsidRDefault="000A3ECA" w:rsidP="00F30EFC">
            <w:pPr>
              <w:pStyle w:val="Heading2"/>
              <w:spacing w:before="0"/>
              <w:outlineLvl w:val="1"/>
              <w:rPr>
                <w:sz w:val="24"/>
                <w:szCs w:val="24"/>
              </w:rPr>
            </w:pPr>
            <w:r w:rsidRPr="007A256E">
              <w:rPr>
                <w:sz w:val="24"/>
                <w:szCs w:val="24"/>
              </w:rPr>
              <w:t>Employee Training</w:t>
            </w:r>
          </w:p>
          <w:p w:rsidR="000A3ECA" w:rsidRDefault="000A3ECA" w:rsidP="000A3ECA">
            <w:pPr>
              <w:pStyle w:val="Heading2"/>
              <w:numPr>
                <w:ilvl w:val="0"/>
                <w:numId w:val="6"/>
              </w:numPr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E70F3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With the rapid changes occurring in our industry, how are you making sure you and your employees are keeping current and in compliance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 xml:space="preserve"> with state and federal requirements</w:t>
            </w:r>
            <w:r w:rsidRPr="00E70F3C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?</w:t>
            </w:r>
          </w:p>
          <w:p w:rsidR="000A3ECA" w:rsidRPr="00FF7755" w:rsidRDefault="000A3ECA" w:rsidP="00F30EFC"/>
          <w:p w:rsidR="000A3ECA" w:rsidRPr="007A256E" w:rsidRDefault="000A3ECA" w:rsidP="00F30EFC">
            <w:pPr>
              <w:pStyle w:val="Heading2"/>
              <w:spacing w:before="0"/>
              <w:outlineLvl w:val="1"/>
              <w:rPr>
                <w:sz w:val="24"/>
                <w:szCs w:val="24"/>
              </w:rPr>
            </w:pPr>
            <w:r w:rsidRPr="007A256E">
              <w:rPr>
                <w:sz w:val="24"/>
                <w:szCs w:val="24"/>
              </w:rPr>
              <w:t>Electronic Recordings</w:t>
            </w:r>
          </w:p>
          <w:p w:rsidR="000A3ECA" w:rsidRPr="00501DD4" w:rsidRDefault="000A3ECA" w:rsidP="000A3ECA">
            <w:pPr>
              <w:pStyle w:val="ListParagraph"/>
              <w:numPr>
                <w:ilvl w:val="0"/>
                <w:numId w:val="4"/>
              </w:numPr>
              <w:spacing w:before="0" w:after="0"/>
              <w:ind w:left="360"/>
            </w:pPr>
            <w:r w:rsidRPr="00501DD4">
              <w:t xml:space="preserve">Which counties in your area accept </w:t>
            </w:r>
          </w:p>
          <w:p w:rsidR="000A3ECA" w:rsidRPr="00501DD4" w:rsidRDefault="000A3ECA" w:rsidP="00F30EFC">
            <w:pPr>
              <w:ind w:left="342"/>
              <w:rPr>
                <w:rFonts w:ascii="Times New Roman" w:hAnsi="Times New Roman" w:cs="Times New Roman"/>
              </w:rPr>
            </w:pPr>
            <w:proofErr w:type="gramStart"/>
            <w:r w:rsidRPr="00501DD4">
              <w:rPr>
                <w:rFonts w:ascii="Times New Roman" w:hAnsi="Times New Roman" w:cs="Times New Roman"/>
              </w:rPr>
              <w:t>e-recording</w:t>
            </w:r>
            <w:proofErr w:type="gramEnd"/>
            <w:r w:rsidRPr="00501DD4">
              <w:rPr>
                <w:rFonts w:ascii="Times New Roman" w:hAnsi="Times New Roman" w:cs="Times New Roman"/>
              </w:rPr>
              <w:t>?</w:t>
            </w:r>
          </w:p>
          <w:p w:rsidR="000A3ECA" w:rsidRPr="00501DD4" w:rsidRDefault="000A3ECA" w:rsidP="000A3ECA">
            <w:pPr>
              <w:pStyle w:val="ListParagraph"/>
              <w:numPr>
                <w:ilvl w:val="0"/>
                <w:numId w:val="4"/>
              </w:numPr>
              <w:spacing w:before="0" w:after="0"/>
              <w:ind w:left="360"/>
            </w:pPr>
            <w:r w:rsidRPr="00501DD4">
              <w:t>How could e-recording streamline your closing process?</w:t>
            </w:r>
          </w:p>
          <w:p w:rsidR="000A3ECA" w:rsidRPr="007A256E" w:rsidRDefault="000A3ECA" w:rsidP="00F30EFC">
            <w:pPr>
              <w:pStyle w:val="ListParagraph"/>
              <w:spacing w:before="0" w:after="0"/>
              <w:rPr>
                <w:sz w:val="18"/>
                <w:szCs w:val="18"/>
              </w:rPr>
            </w:pPr>
          </w:p>
        </w:tc>
      </w:tr>
      <w:tr w:rsidR="000A3ECA" w:rsidRPr="000510EC" w:rsidTr="00F30EFC">
        <w:trPr>
          <w:trHeight w:val="5913"/>
        </w:trPr>
        <w:tc>
          <w:tcPr>
            <w:tcW w:w="5688" w:type="dxa"/>
            <w:vMerge/>
          </w:tcPr>
          <w:p w:rsidR="000A3ECA" w:rsidRPr="00792F0F" w:rsidRDefault="000A3ECA" w:rsidP="00F30EFC">
            <w:pPr>
              <w:jc w:val="both"/>
              <w:rPr>
                <w:rFonts w:ascii="Gill Sans Ultra Bold Condensed" w:hAnsi="Gill Sans Ultra Bold Condensed"/>
                <w:color w:val="FFC425"/>
                <w:sz w:val="36"/>
              </w:rPr>
            </w:pPr>
          </w:p>
        </w:tc>
        <w:tc>
          <w:tcPr>
            <w:tcW w:w="270" w:type="dxa"/>
            <w:vMerge w:val="restart"/>
            <w:tcBorders>
              <w:right w:val="thinThickSmallGap" w:sz="12" w:space="0" w:color="002B5C"/>
            </w:tcBorders>
            <w:shd w:val="clear" w:color="auto" w:fill="auto"/>
          </w:tcPr>
          <w:p w:rsidR="000A3ECA" w:rsidRPr="000510EC" w:rsidRDefault="000A3ECA" w:rsidP="00F30EFC">
            <w:pPr>
              <w:ind w:left="72" w:hanging="120"/>
              <w:jc w:val="center"/>
              <w:rPr>
                <w:rFonts w:cs="Segoe UI"/>
                <w:color w:val="FFC425"/>
                <w:szCs w:val="20"/>
              </w:rPr>
            </w:pPr>
          </w:p>
        </w:tc>
        <w:tc>
          <w:tcPr>
            <w:tcW w:w="5130" w:type="dxa"/>
            <w:vMerge/>
            <w:tcBorders>
              <w:left w:val="thinThickSmallGap" w:sz="12" w:space="0" w:color="002B5C"/>
              <w:bottom w:val="thinThickSmallGap" w:sz="12" w:space="0" w:color="002B5C"/>
              <w:right w:val="thickThinSmallGap" w:sz="12" w:space="0" w:color="002B5C"/>
            </w:tcBorders>
            <w:shd w:val="clear" w:color="auto" w:fill="F2F2F2" w:themeFill="background1" w:themeFillShade="F2"/>
            <w:vAlign w:val="center"/>
          </w:tcPr>
          <w:p w:rsidR="000A3ECA" w:rsidRPr="000510EC" w:rsidRDefault="000A3ECA" w:rsidP="000A3ECA">
            <w:pPr>
              <w:pStyle w:val="ListParagraph"/>
              <w:numPr>
                <w:ilvl w:val="0"/>
                <w:numId w:val="1"/>
              </w:numPr>
              <w:spacing w:before="0" w:after="0"/>
              <w:rPr>
                <w:rFonts w:cs="Segoe UI"/>
              </w:rPr>
            </w:pPr>
          </w:p>
        </w:tc>
      </w:tr>
      <w:tr w:rsidR="000A3ECA" w:rsidRPr="00DD5B2F" w:rsidTr="00F30EFC">
        <w:trPr>
          <w:trHeight w:val="20"/>
        </w:trPr>
        <w:tc>
          <w:tcPr>
            <w:tcW w:w="5688" w:type="dxa"/>
            <w:vMerge/>
          </w:tcPr>
          <w:p w:rsidR="000A3ECA" w:rsidRDefault="000A3ECA" w:rsidP="000A3ECA">
            <w:pPr>
              <w:pStyle w:val="ListParagraph"/>
              <w:numPr>
                <w:ilvl w:val="0"/>
                <w:numId w:val="2"/>
              </w:numPr>
              <w:spacing w:before="0" w:after="0"/>
            </w:pPr>
          </w:p>
        </w:tc>
        <w:tc>
          <w:tcPr>
            <w:tcW w:w="270" w:type="dxa"/>
            <w:vMerge/>
            <w:shd w:val="clear" w:color="auto" w:fill="auto"/>
          </w:tcPr>
          <w:p w:rsidR="000A3ECA" w:rsidRPr="000510EC" w:rsidRDefault="000A3ECA" w:rsidP="00F30EFC">
            <w:pPr>
              <w:ind w:left="72" w:hanging="120"/>
              <w:jc w:val="center"/>
              <w:rPr>
                <w:rFonts w:cs="Segoe UI"/>
                <w:color w:val="FFC425"/>
                <w:szCs w:val="20"/>
              </w:rPr>
            </w:pPr>
          </w:p>
        </w:tc>
        <w:tc>
          <w:tcPr>
            <w:tcW w:w="5130" w:type="dxa"/>
            <w:tcBorders>
              <w:top w:val="thinThickSmallGap" w:sz="12" w:space="0" w:color="002B5C"/>
            </w:tcBorders>
            <w:shd w:val="clear" w:color="auto" w:fill="auto"/>
            <w:vAlign w:val="center"/>
          </w:tcPr>
          <w:p w:rsidR="000A3ECA" w:rsidRPr="00DD5B2F" w:rsidRDefault="000A3ECA" w:rsidP="00F30EFC">
            <w:pPr>
              <w:rPr>
                <w:rFonts w:cs="Segoe UI"/>
                <w:szCs w:val="20"/>
              </w:rPr>
            </w:pPr>
          </w:p>
        </w:tc>
      </w:tr>
    </w:tbl>
    <w:p w:rsidR="000A3ECA" w:rsidRDefault="000A3ECA"/>
    <w:sectPr w:rsidR="000A3ECA" w:rsidSect="000A3E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B56D3"/>
    <w:multiLevelType w:val="hybridMultilevel"/>
    <w:tmpl w:val="5FA220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C13B58"/>
    <w:multiLevelType w:val="hybridMultilevel"/>
    <w:tmpl w:val="A07093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C42AA9"/>
    <w:multiLevelType w:val="hybridMultilevel"/>
    <w:tmpl w:val="D5CC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0074B"/>
    <w:multiLevelType w:val="hybridMultilevel"/>
    <w:tmpl w:val="C956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4295A"/>
    <w:multiLevelType w:val="hybridMultilevel"/>
    <w:tmpl w:val="A18ADC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DE786B"/>
    <w:multiLevelType w:val="hybridMultilevel"/>
    <w:tmpl w:val="DAAED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E56839"/>
    <w:multiLevelType w:val="hybridMultilevel"/>
    <w:tmpl w:val="7DE63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CA"/>
    <w:rsid w:val="000054C0"/>
    <w:rsid w:val="000058E2"/>
    <w:rsid w:val="00026067"/>
    <w:rsid w:val="00026EF4"/>
    <w:rsid w:val="000324AB"/>
    <w:rsid w:val="00033C18"/>
    <w:rsid w:val="0004056E"/>
    <w:rsid w:val="00044BF9"/>
    <w:rsid w:val="000451B6"/>
    <w:rsid w:val="0005019D"/>
    <w:rsid w:val="000622D7"/>
    <w:rsid w:val="00067131"/>
    <w:rsid w:val="00076E69"/>
    <w:rsid w:val="00080312"/>
    <w:rsid w:val="0008076B"/>
    <w:rsid w:val="000849E6"/>
    <w:rsid w:val="00095DD1"/>
    <w:rsid w:val="000A3ECA"/>
    <w:rsid w:val="000B1DD1"/>
    <w:rsid w:val="000D1332"/>
    <w:rsid w:val="000E178E"/>
    <w:rsid w:val="000E1E9C"/>
    <w:rsid w:val="000E7C64"/>
    <w:rsid w:val="000F0203"/>
    <w:rsid w:val="000F34EC"/>
    <w:rsid w:val="000F57CC"/>
    <w:rsid w:val="0010008A"/>
    <w:rsid w:val="00102E82"/>
    <w:rsid w:val="00113F33"/>
    <w:rsid w:val="00114F64"/>
    <w:rsid w:val="0012371D"/>
    <w:rsid w:val="00125451"/>
    <w:rsid w:val="00126873"/>
    <w:rsid w:val="00132C7E"/>
    <w:rsid w:val="0013533A"/>
    <w:rsid w:val="00136FE5"/>
    <w:rsid w:val="0016013F"/>
    <w:rsid w:val="001718E4"/>
    <w:rsid w:val="0017410D"/>
    <w:rsid w:val="00191E29"/>
    <w:rsid w:val="001B3BB3"/>
    <w:rsid w:val="001C15B4"/>
    <w:rsid w:val="001C2B16"/>
    <w:rsid w:val="001C465A"/>
    <w:rsid w:val="001C6347"/>
    <w:rsid w:val="001C6D1A"/>
    <w:rsid w:val="001D5421"/>
    <w:rsid w:val="001E028A"/>
    <w:rsid w:val="001E491D"/>
    <w:rsid w:val="001F5202"/>
    <w:rsid w:val="001F6960"/>
    <w:rsid w:val="002115AE"/>
    <w:rsid w:val="002115BA"/>
    <w:rsid w:val="00217772"/>
    <w:rsid w:val="00221C4A"/>
    <w:rsid w:val="00224E29"/>
    <w:rsid w:val="00227294"/>
    <w:rsid w:val="00227A62"/>
    <w:rsid w:val="00230487"/>
    <w:rsid w:val="00244C9F"/>
    <w:rsid w:val="002472C9"/>
    <w:rsid w:val="00272EC0"/>
    <w:rsid w:val="002765D0"/>
    <w:rsid w:val="00276B30"/>
    <w:rsid w:val="00290268"/>
    <w:rsid w:val="00293E50"/>
    <w:rsid w:val="002D001F"/>
    <w:rsid w:val="002D116D"/>
    <w:rsid w:val="002D71F9"/>
    <w:rsid w:val="002D7DF7"/>
    <w:rsid w:val="002E068C"/>
    <w:rsid w:val="002E6D80"/>
    <w:rsid w:val="002F5C99"/>
    <w:rsid w:val="0030036C"/>
    <w:rsid w:val="003014A3"/>
    <w:rsid w:val="003038F2"/>
    <w:rsid w:val="003044CC"/>
    <w:rsid w:val="0030455B"/>
    <w:rsid w:val="003169B4"/>
    <w:rsid w:val="0031757A"/>
    <w:rsid w:val="00317804"/>
    <w:rsid w:val="00323315"/>
    <w:rsid w:val="003254EC"/>
    <w:rsid w:val="003325FF"/>
    <w:rsid w:val="003361DD"/>
    <w:rsid w:val="0034240E"/>
    <w:rsid w:val="00347E64"/>
    <w:rsid w:val="00355461"/>
    <w:rsid w:val="00361150"/>
    <w:rsid w:val="00366D47"/>
    <w:rsid w:val="0037190B"/>
    <w:rsid w:val="00374502"/>
    <w:rsid w:val="00380DCA"/>
    <w:rsid w:val="00384173"/>
    <w:rsid w:val="00386131"/>
    <w:rsid w:val="003A0B59"/>
    <w:rsid w:val="003A2AE7"/>
    <w:rsid w:val="003A4E65"/>
    <w:rsid w:val="003C303E"/>
    <w:rsid w:val="003C326A"/>
    <w:rsid w:val="003D1920"/>
    <w:rsid w:val="003E1750"/>
    <w:rsid w:val="003E383F"/>
    <w:rsid w:val="003E4796"/>
    <w:rsid w:val="00407FCC"/>
    <w:rsid w:val="0041369F"/>
    <w:rsid w:val="004156BB"/>
    <w:rsid w:val="00415F2F"/>
    <w:rsid w:val="00421A1C"/>
    <w:rsid w:val="00465D5E"/>
    <w:rsid w:val="0047080E"/>
    <w:rsid w:val="00477E57"/>
    <w:rsid w:val="00483842"/>
    <w:rsid w:val="004876E6"/>
    <w:rsid w:val="00490CEA"/>
    <w:rsid w:val="00492434"/>
    <w:rsid w:val="00496E69"/>
    <w:rsid w:val="004C2E49"/>
    <w:rsid w:val="004C4639"/>
    <w:rsid w:val="004D7F47"/>
    <w:rsid w:val="004E1B65"/>
    <w:rsid w:val="004F626E"/>
    <w:rsid w:val="005137CA"/>
    <w:rsid w:val="00513B82"/>
    <w:rsid w:val="00514837"/>
    <w:rsid w:val="00517376"/>
    <w:rsid w:val="005210DA"/>
    <w:rsid w:val="005238FD"/>
    <w:rsid w:val="00523B4B"/>
    <w:rsid w:val="00524050"/>
    <w:rsid w:val="00532F05"/>
    <w:rsid w:val="005363D5"/>
    <w:rsid w:val="00537C39"/>
    <w:rsid w:val="00537FCE"/>
    <w:rsid w:val="00540D31"/>
    <w:rsid w:val="005464DF"/>
    <w:rsid w:val="005465A6"/>
    <w:rsid w:val="00562B0F"/>
    <w:rsid w:val="00563D7F"/>
    <w:rsid w:val="00572A3E"/>
    <w:rsid w:val="00596674"/>
    <w:rsid w:val="005C3FEF"/>
    <w:rsid w:val="005C4EB2"/>
    <w:rsid w:val="005C6378"/>
    <w:rsid w:val="005D0A3A"/>
    <w:rsid w:val="005E0FF4"/>
    <w:rsid w:val="005E1329"/>
    <w:rsid w:val="005E1549"/>
    <w:rsid w:val="005E3048"/>
    <w:rsid w:val="005E4813"/>
    <w:rsid w:val="005E63B5"/>
    <w:rsid w:val="005E7CCB"/>
    <w:rsid w:val="005F49CD"/>
    <w:rsid w:val="00601BE9"/>
    <w:rsid w:val="00606464"/>
    <w:rsid w:val="006107A6"/>
    <w:rsid w:val="00612F7F"/>
    <w:rsid w:val="00645C67"/>
    <w:rsid w:val="00650711"/>
    <w:rsid w:val="00654696"/>
    <w:rsid w:val="006563EF"/>
    <w:rsid w:val="0066249A"/>
    <w:rsid w:val="006777B6"/>
    <w:rsid w:val="00682658"/>
    <w:rsid w:val="006916A8"/>
    <w:rsid w:val="006916BC"/>
    <w:rsid w:val="006B459A"/>
    <w:rsid w:val="006B5C96"/>
    <w:rsid w:val="006C3A76"/>
    <w:rsid w:val="006C4B4F"/>
    <w:rsid w:val="006C5C74"/>
    <w:rsid w:val="006D081F"/>
    <w:rsid w:val="006D13ED"/>
    <w:rsid w:val="006D1DB7"/>
    <w:rsid w:val="006E6CA4"/>
    <w:rsid w:val="006F4FC5"/>
    <w:rsid w:val="006F5EBE"/>
    <w:rsid w:val="00706CAF"/>
    <w:rsid w:val="007223B3"/>
    <w:rsid w:val="00723559"/>
    <w:rsid w:val="007303F5"/>
    <w:rsid w:val="0073113B"/>
    <w:rsid w:val="00736F2A"/>
    <w:rsid w:val="00746973"/>
    <w:rsid w:val="007471B1"/>
    <w:rsid w:val="00751DC9"/>
    <w:rsid w:val="007630DE"/>
    <w:rsid w:val="00763B10"/>
    <w:rsid w:val="00771E10"/>
    <w:rsid w:val="007755F7"/>
    <w:rsid w:val="00781038"/>
    <w:rsid w:val="00784B88"/>
    <w:rsid w:val="007934E4"/>
    <w:rsid w:val="007955FB"/>
    <w:rsid w:val="007958BA"/>
    <w:rsid w:val="007C4A72"/>
    <w:rsid w:val="007C5F60"/>
    <w:rsid w:val="007D1BFB"/>
    <w:rsid w:val="007D723E"/>
    <w:rsid w:val="007E0A14"/>
    <w:rsid w:val="007E483E"/>
    <w:rsid w:val="007F643D"/>
    <w:rsid w:val="007F7105"/>
    <w:rsid w:val="00801D66"/>
    <w:rsid w:val="00803C93"/>
    <w:rsid w:val="008065E9"/>
    <w:rsid w:val="008071C2"/>
    <w:rsid w:val="008128E5"/>
    <w:rsid w:val="00813CAE"/>
    <w:rsid w:val="00813F44"/>
    <w:rsid w:val="008433DC"/>
    <w:rsid w:val="008447B4"/>
    <w:rsid w:val="0085342A"/>
    <w:rsid w:val="00867D2D"/>
    <w:rsid w:val="008748E5"/>
    <w:rsid w:val="00885A64"/>
    <w:rsid w:val="00886880"/>
    <w:rsid w:val="00891FCC"/>
    <w:rsid w:val="0089206E"/>
    <w:rsid w:val="00893755"/>
    <w:rsid w:val="00897C6F"/>
    <w:rsid w:val="008A6BA2"/>
    <w:rsid w:val="008B28AD"/>
    <w:rsid w:val="008C08C9"/>
    <w:rsid w:val="008C1095"/>
    <w:rsid w:val="008D07CE"/>
    <w:rsid w:val="008D70CB"/>
    <w:rsid w:val="008E21A7"/>
    <w:rsid w:val="008E2903"/>
    <w:rsid w:val="00900792"/>
    <w:rsid w:val="00901C64"/>
    <w:rsid w:val="0091055D"/>
    <w:rsid w:val="00914D39"/>
    <w:rsid w:val="00921E5E"/>
    <w:rsid w:val="00923033"/>
    <w:rsid w:val="00924583"/>
    <w:rsid w:val="00933E29"/>
    <w:rsid w:val="00941D0C"/>
    <w:rsid w:val="00945581"/>
    <w:rsid w:val="00962406"/>
    <w:rsid w:val="0096348E"/>
    <w:rsid w:val="009745E2"/>
    <w:rsid w:val="00980238"/>
    <w:rsid w:val="00985D6E"/>
    <w:rsid w:val="00986E1C"/>
    <w:rsid w:val="00997781"/>
    <w:rsid w:val="009A7129"/>
    <w:rsid w:val="009B5483"/>
    <w:rsid w:val="009B7989"/>
    <w:rsid w:val="009B79E8"/>
    <w:rsid w:val="009C1B99"/>
    <w:rsid w:val="009C1E78"/>
    <w:rsid w:val="009C1FD4"/>
    <w:rsid w:val="009C4DEE"/>
    <w:rsid w:val="009C54A9"/>
    <w:rsid w:val="009E28BE"/>
    <w:rsid w:val="009E5F66"/>
    <w:rsid w:val="009E709B"/>
    <w:rsid w:val="009F146D"/>
    <w:rsid w:val="009F4468"/>
    <w:rsid w:val="00A00347"/>
    <w:rsid w:val="00A011E9"/>
    <w:rsid w:val="00A12603"/>
    <w:rsid w:val="00A16975"/>
    <w:rsid w:val="00A25BE5"/>
    <w:rsid w:val="00A32797"/>
    <w:rsid w:val="00A3440D"/>
    <w:rsid w:val="00A34A89"/>
    <w:rsid w:val="00A359D9"/>
    <w:rsid w:val="00A4391E"/>
    <w:rsid w:val="00A6111A"/>
    <w:rsid w:val="00A616C1"/>
    <w:rsid w:val="00A66CC0"/>
    <w:rsid w:val="00A76A1B"/>
    <w:rsid w:val="00A80425"/>
    <w:rsid w:val="00A8223A"/>
    <w:rsid w:val="00A826F3"/>
    <w:rsid w:val="00A83E4D"/>
    <w:rsid w:val="00A862C3"/>
    <w:rsid w:val="00A872D0"/>
    <w:rsid w:val="00A968C1"/>
    <w:rsid w:val="00AA26DE"/>
    <w:rsid w:val="00AA34E4"/>
    <w:rsid w:val="00AA60E8"/>
    <w:rsid w:val="00AB340F"/>
    <w:rsid w:val="00AB4A92"/>
    <w:rsid w:val="00AC1309"/>
    <w:rsid w:val="00AC7F58"/>
    <w:rsid w:val="00AD584F"/>
    <w:rsid w:val="00AD6D77"/>
    <w:rsid w:val="00AE1F11"/>
    <w:rsid w:val="00AE5C09"/>
    <w:rsid w:val="00AF20E7"/>
    <w:rsid w:val="00AF31A8"/>
    <w:rsid w:val="00AF387D"/>
    <w:rsid w:val="00AF4CAF"/>
    <w:rsid w:val="00B04893"/>
    <w:rsid w:val="00B1233B"/>
    <w:rsid w:val="00B22B1D"/>
    <w:rsid w:val="00B265A1"/>
    <w:rsid w:val="00B30F20"/>
    <w:rsid w:val="00B344DC"/>
    <w:rsid w:val="00B35848"/>
    <w:rsid w:val="00B44856"/>
    <w:rsid w:val="00B4532A"/>
    <w:rsid w:val="00B45F93"/>
    <w:rsid w:val="00B64EA9"/>
    <w:rsid w:val="00B73027"/>
    <w:rsid w:val="00B83FD6"/>
    <w:rsid w:val="00B84768"/>
    <w:rsid w:val="00B87769"/>
    <w:rsid w:val="00B9641B"/>
    <w:rsid w:val="00B979E9"/>
    <w:rsid w:val="00BA4200"/>
    <w:rsid w:val="00BA74F2"/>
    <w:rsid w:val="00BB2831"/>
    <w:rsid w:val="00BD02D1"/>
    <w:rsid w:val="00BD2AEF"/>
    <w:rsid w:val="00BD37E9"/>
    <w:rsid w:val="00BD7D3C"/>
    <w:rsid w:val="00BE30B9"/>
    <w:rsid w:val="00BE4383"/>
    <w:rsid w:val="00BE5CB7"/>
    <w:rsid w:val="00BE5EE7"/>
    <w:rsid w:val="00BE7EE3"/>
    <w:rsid w:val="00C104F8"/>
    <w:rsid w:val="00C13959"/>
    <w:rsid w:val="00C14789"/>
    <w:rsid w:val="00C153B3"/>
    <w:rsid w:val="00C228FD"/>
    <w:rsid w:val="00C250A2"/>
    <w:rsid w:val="00C25A19"/>
    <w:rsid w:val="00C35563"/>
    <w:rsid w:val="00C4483D"/>
    <w:rsid w:val="00C45232"/>
    <w:rsid w:val="00C521D8"/>
    <w:rsid w:val="00C529E1"/>
    <w:rsid w:val="00C53509"/>
    <w:rsid w:val="00C762B0"/>
    <w:rsid w:val="00C76A63"/>
    <w:rsid w:val="00C8102E"/>
    <w:rsid w:val="00C838BF"/>
    <w:rsid w:val="00C9079C"/>
    <w:rsid w:val="00C94117"/>
    <w:rsid w:val="00C96FCD"/>
    <w:rsid w:val="00CA174D"/>
    <w:rsid w:val="00CA5C00"/>
    <w:rsid w:val="00CA6F9B"/>
    <w:rsid w:val="00CB52CE"/>
    <w:rsid w:val="00CE572A"/>
    <w:rsid w:val="00CF2869"/>
    <w:rsid w:val="00CF2FC7"/>
    <w:rsid w:val="00D046EF"/>
    <w:rsid w:val="00D056C5"/>
    <w:rsid w:val="00D10772"/>
    <w:rsid w:val="00D108E5"/>
    <w:rsid w:val="00D1160B"/>
    <w:rsid w:val="00D11D53"/>
    <w:rsid w:val="00D404D5"/>
    <w:rsid w:val="00D40726"/>
    <w:rsid w:val="00D40BE6"/>
    <w:rsid w:val="00D4316B"/>
    <w:rsid w:val="00D4327E"/>
    <w:rsid w:val="00D449BE"/>
    <w:rsid w:val="00D50B2C"/>
    <w:rsid w:val="00D56DA3"/>
    <w:rsid w:val="00D7300C"/>
    <w:rsid w:val="00D85F1F"/>
    <w:rsid w:val="00D90609"/>
    <w:rsid w:val="00D92F5F"/>
    <w:rsid w:val="00D9364D"/>
    <w:rsid w:val="00DA005E"/>
    <w:rsid w:val="00DA04B9"/>
    <w:rsid w:val="00DA3C25"/>
    <w:rsid w:val="00DB3C8B"/>
    <w:rsid w:val="00DC15CD"/>
    <w:rsid w:val="00DC434A"/>
    <w:rsid w:val="00DC7927"/>
    <w:rsid w:val="00DE3CEB"/>
    <w:rsid w:val="00DF1D52"/>
    <w:rsid w:val="00DF3990"/>
    <w:rsid w:val="00DF6ED0"/>
    <w:rsid w:val="00E058FB"/>
    <w:rsid w:val="00E05A5A"/>
    <w:rsid w:val="00E2153C"/>
    <w:rsid w:val="00E31A11"/>
    <w:rsid w:val="00E46CEA"/>
    <w:rsid w:val="00E4787D"/>
    <w:rsid w:val="00E632E9"/>
    <w:rsid w:val="00E74E8F"/>
    <w:rsid w:val="00E814B9"/>
    <w:rsid w:val="00E83F63"/>
    <w:rsid w:val="00EA2CFC"/>
    <w:rsid w:val="00EA2D5D"/>
    <w:rsid w:val="00EA64AE"/>
    <w:rsid w:val="00EB08D3"/>
    <w:rsid w:val="00EB14C8"/>
    <w:rsid w:val="00EB158E"/>
    <w:rsid w:val="00EC44F7"/>
    <w:rsid w:val="00ED0635"/>
    <w:rsid w:val="00EE76A2"/>
    <w:rsid w:val="00F05BFF"/>
    <w:rsid w:val="00F1191F"/>
    <w:rsid w:val="00F14719"/>
    <w:rsid w:val="00F271AF"/>
    <w:rsid w:val="00F350ED"/>
    <w:rsid w:val="00F3649B"/>
    <w:rsid w:val="00F367A0"/>
    <w:rsid w:val="00F65D8E"/>
    <w:rsid w:val="00F6668E"/>
    <w:rsid w:val="00F81BD7"/>
    <w:rsid w:val="00F86B24"/>
    <w:rsid w:val="00F9113E"/>
    <w:rsid w:val="00F9265A"/>
    <w:rsid w:val="00FA30E0"/>
    <w:rsid w:val="00FA51F6"/>
    <w:rsid w:val="00FB1A70"/>
    <w:rsid w:val="00FB33F2"/>
    <w:rsid w:val="00FC0B76"/>
    <w:rsid w:val="00FC0DD6"/>
    <w:rsid w:val="00FD10E3"/>
    <w:rsid w:val="00FD18DC"/>
    <w:rsid w:val="00FD4FE8"/>
    <w:rsid w:val="00FE23CC"/>
    <w:rsid w:val="00FF0666"/>
    <w:rsid w:val="00FF2926"/>
    <w:rsid w:val="00FF5B14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A3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CA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0A3ECA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0A3ECA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0A3E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3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3ECA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A3ECA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A3E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3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ECA"/>
    <w:rPr>
      <w:rFonts w:ascii="Tahoma" w:hAnsi="Tahoma" w:cs="Tahoma"/>
      <w:sz w:val="16"/>
      <w:szCs w:val="16"/>
    </w:rPr>
  </w:style>
  <w:style w:type="character" w:customStyle="1" w:styleId="heading10">
    <w:name w:val="heading1"/>
    <w:basedOn w:val="DefaultParagraphFont"/>
    <w:rsid w:val="000A3ECA"/>
    <w:rPr>
      <w:rFonts w:ascii="Verdana" w:hAnsi="Verdana" w:hint="default"/>
      <w:b/>
      <w:bCs/>
      <w:strike w:val="0"/>
      <w:dstrike w:val="0"/>
      <w:color w:val="444444"/>
      <w:sz w:val="27"/>
      <w:szCs w:val="27"/>
      <w:u w:val="none"/>
      <w:effect w:val="none"/>
    </w:rPr>
  </w:style>
  <w:style w:type="character" w:customStyle="1" w:styleId="subheading1">
    <w:name w:val="subheading1"/>
    <w:basedOn w:val="DefaultParagraphFont"/>
    <w:rsid w:val="000A3ECA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rsid w:val="000A3E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A3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A3ECA"/>
    <w:pPr>
      <w:spacing w:before="120" w:after="12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0A3ECA"/>
    <w:pPr>
      <w:spacing w:after="0" w:line="240" w:lineRule="auto"/>
    </w:pPr>
    <w:rPr>
      <w:rFonts w:ascii="Segoe UI" w:hAnsi="Segoe U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IT</cp:lastModifiedBy>
  <cp:revision>4</cp:revision>
  <dcterms:created xsi:type="dcterms:W3CDTF">2014-03-16T20:48:00Z</dcterms:created>
  <dcterms:modified xsi:type="dcterms:W3CDTF">2014-03-16T21:14:00Z</dcterms:modified>
</cp:coreProperties>
</file>